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relatório-final-do-dossiê-processual"/>
    <w:p>
      <w:pPr>
        <w:pStyle w:val="Heading2"/>
      </w:pPr>
      <w:r>
        <w:t xml:space="preserve">Relatório Final do Dossiê Processual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Processo Penal n.º</w:t>
      </w:r>
      <w:r>
        <w:t xml:space="preserve"> </w:t>
      </w:r>
      <w:r>
        <w:rPr>
          <w:b/>
          <w:bCs/>
        </w:rPr>
        <w:t xml:space="preserve">2023/0456</w:t>
      </w:r>
      <w:r>
        <w:t xml:space="preserve"> </w:t>
      </w:r>
      <w:r>
        <w:t xml:space="preserve">– Burla Informática por Phishing – Transferências Fraudulentas de</w:t>
      </w:r>
      <w:r>
        <w:t xml:space="preserve"> </w:t>
      </w:r>
      <w:r>
        <w:rPr>
          <w:b/>
          <w:bCs/>
        </w:rPr>
        <w:t xml:space="preserve">€32 000,00</w:t>
      </w:r>
      <w:r>
        <w:br/>
      </w:r>
      <w:r>
        <w:rPr>
          <w:b/>
          <w:bCs/>
        </w:rPr>
        <w:t xml:space="preserve">Juiz de Instrução Criminal:</w:t>
      </w:r>
      <w:r>
        <w:t xml:space="preserve"> </w:t>
      </w:r>
      <w:r>
        <w:t xml:space="preserve">Juiz de Instrução Criminal n.º 4 do Tribunal Judicial de Lisboa</w:t>
      </w:r>
      <w:r>
        <w:br/>
      </w:r>
      <w:r>
        <w:rPr>
          <w:b/>
          <w:bCs/>
        </w:rPr>
        <w:t xml:space="preserve">Data de conclusão: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1.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52"/>
        <w:gridCol w:w="1159"/>
        <w:gridCol w:w="965"/>
        <w:gridCol w:w="1545"/>
        <w:gridCol w:w="289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Nome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Morada</w:t>
            </w:r>
          </w:p>
        </w:tc>
        <w:tc>
          <w:tcPr/>
          <w:p>
            <w:pPr>
              <w:pStyle w:val="Compact"/>
            </w:pPr>
            <w:r>
              <w:t xml:space="preserve">Representação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Ministério Público – Secção de Instrução Criminal</w:t>
            </w:r>
          </w:p>
        </w:tc>
        <w:tc>
          <w:tcPr/>
          <w:p>
            <w:pPr>
              <w:pStyle w:val="Compact"/>
            </w:pPr>
            <w:r>
              <w:t xml:space="preserve">505 123 456</w:t>
            </w:r>
          </w:p>
        </w:tc>
        <w:tc>
          <w:tcPr/>
          <w:p>
            <w:pPr>
              <w:pStyle w:val="Compact"/>
            </w:pPr>
            <w:r>
              <w:t xml:space="preserve">Av. da República, 45 – 1050‑159 Lisboa</w:t>
            </w:r>
          </w:p>
        </w:tc>
        <w:tc>
          <w:tcPr/>
          <w:p>
            <w:pPr>
              <w:pStyle w:val="Compact"/>
            </w:pPr>
            <w:r>
              <w:t xml:space="preserve">Dr. Marta Santos – Procuradora do Ministério Público (OA 54321)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João da Silva</w:t>
            </w:r>
          </w:p>
        </w:tc>
        <w:tc>
          <w:tcPr/>
          <w:p>
            <w:pPr>
              <w:pStyle w:val="Compact"/>
            </w:pPr>
            <w:r>
              <w:t xml:space="preserve">213 987 654</w:t>
            </w:r>
          </w:p>
        </w:tc>
        <w:tc>
          <w:tcPr/>
          <w:p>
            <w:pPr>
              <w:pStyle w:val="Compact"/>
            </w:pPr>
            <w:r>
              <w:t xml:space="preserve">Rua da Boavista, n.º 12 – 1200‑098 Lisboa</w:t>
            </w:r>
          </w:p>
        </w:tc>
        <w:tc>
          <w:tcPr/>
          <w:p>
            <w:pPr>
              <w:pStyle w:val="Compact"/>
            </w:pPr>
            <w:r>
              <w:t xml:space="preserve">Dr. Ana Pereira – Advogada de defesa (OA 12345)</w:t>
            </w:r>
            <w:r>
              <w:t xml:space="preserve"> </w:t>
            </w:r>
            <w:r>
              <w:t xml:space="preserve"> </w:t>
            </w:r>
            <w:r>
              <w:t xml:space="preserve">Dr. Luís Carvalho – Advogado de defesa (OA 67890)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resumo-dos-factos"/>
    <w:p>
      <w:pPr>
        <w:pStyle w:val="Heading3"/>
      </w:pPr>
      <w:r>
        <w:t xml:space="preserve">2. Resumo dos factos</w:t>
      </w:r>
    </w:p>
    <w:p>
      <w:pPr>
        <w:pStyle w:val="Compact"/>
        <w:numPr>
          <w:ilvl w:val="0"/>
          <w:numId w:val="1001"/>
        </w:numPr>
      </w:pPr>
      <w:r>
        <w:t xml:space="preserve">Entre os dias</w:t>
      </w:r>
      <w:r>
        <w:t xml:space="preserve"> </w:t>
      </w:r>
      <w:r>
        <w:rPr>
          <w:b/>
          <w:bCs/>
        </w:rPr>
        <w:t xml:space="preserve">10 e 25 de março de 2023</w:t>
      </w:r>
      <w:r>
        <w:t xml:space="preserve">, o réu João da Silva, mediante a criação e divulgação de mensagens eletrónicas de “phishing”, induziu vítimas a efetuar transferências bancárias fraudulentas ao montante total de</w:t>
      </w:r>
      <w:r>
        <w:t xml:space="preserve"> </w:t>
      </w:r>
      <w:r>
        <w:rPr>
          <w:b/>
          <w:bCs/>
        </w:rPr>
        <w:t xml:space="preserve">€32 000,00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As transferências foram realizadas a partir de contas bancárias domiciliadas em Portugal (Banco Comercial Português, S.A. – NIB 0035 1234 5678 9012 3456 789).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prática enquadra‑se no artigo</w:t>
      </w:r>
      <w:r>
        <w:t xml:space="preserve"> </w:t>
      </w:r>
      <w:r>
        <w:rPr>
          <w:b/>
          <w:bCs/>
        </w:rPr>
        <w:t xml:space="preserve">217.º</w:t>
      </w:r>
      <w:r>
        <w:t xml:space="preserve"> </w:t>
      </w:r>
      <w:r>
        <w:t xml:space="preserve">do Código Penal (burla informática).</w:t>
      </w:r>
    </w:p>
    <w:p>
      <w:r>
        <w:pict>
          <v:rect style="width:0;height:1.5pt" o:hralign="center" o:hrstd="t" o:hr="t"/>
        </w:pict>
      </w:r>
    </w:p>
    <w:bookmarkEnd w:id="10"/>
    <w:bookmarkStart w:id="11" w:name="histórico-processual"/>
    <w:p>
      <w:pPr>
        <w:pStyle w:val="Heading3"/>
      </w:pPr>
      <w:r>
        <w:t xml:space="preserve">3. Histórico processual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080"/>
        <w:gridCol w:w="288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Acto processual</w:t>
            </w:r>
          </w:p>
        </w:tc>
        <w:tc>
          <w:tcPr/>
          <w:p>
            <w:pPr>
              <w:pStyle w:val="Compact"/>
            </w:pPr>
            <w:r>
              <w:t xml:space="preserve">Decisão / Observação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abril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Denúncia</w:t>
            </w:r>
            <w:r>
              <w:t xml:space="preserve"> </w:t>
            </w:r>
            <w:r>
              <w:t xml:space="preserve">apresentada pelo Ministério Público.</w:t>
            </w:r>
          </w:p>
        </w:tc>
        <w:tc>
          <w:tcPr/>
          <w:p>
            <w:pPr>
              <w:pStyle w:val="Compact"/>
            </w:pPr>
            <w:r>
              <w:t xml:space="preserve">Denúncia aceita – abertura de instrução criminal.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abril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Citação</w:t>
            </w:r>
            <w:r>
              <w:t xml:space="preserve"> </w:t>
            </w:r>
            <w:r>
              <w:t xml:space="preserve">do réu.</w:t>
            </w:r>
          </w:p>
        </w:tc>
        <w:tc>
          <w:tcPr/>
          <w:p>
            <w:pPr>
              <w:pStyle w:val="Compact"/>
            </w:pPr>
            <w:r>
              <w:t xml:space="preserve">Citação pessoal entregue em domicílio, com prazo de 10 dias para contestação.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22 de abril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Contestação</w:t>
            </w:r>
            <w:r>
              <w:t xml:space="preserve"> </w:t>
            </w:r>
            <w:r>
              <w:t xml:space="preserve">da defesa (Dr. Ana Pereira).</w:t>
            </w:r>
          </w:p>
        </w:tc>
        <w:tc>
          <w:tcPr/>
          <w:p>
            <w:pPr>
              <w:pStyle w:val="Compact"/>
            </w:pPr>
            <w:r>
              <w:t xml:space="preserve">Alegação de inexistência de dolo e pedido de exclusão da acusação por falta de provas.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 de maio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Despacho</w:t>
            </w:r>
            <w:r>
              <w:t xml:space="preserve"> </w:t>
            </w:r>
            <w:r>
              <w:t xml:space="preserve">de admissão da contestação.</w:t>
            </w:r>
          </w:p>
        </w:tc>
        <w:tc>
          <w:tcPr/>
          <w:p>
            <w:pPr>
              <w:pStyle w:val="Compact"/>
            </w:pPr>
            <w:r>
              <w:t xml:space="preserve">A defesa foi admitida; prosseguimento da instrução.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maio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de produção de prova eletrónica</w:t>
            </w:r>
            <w:r>
              <w:t xml:space="preserve"> </w:t>
            </w:r>
            <w:r>
              <w:t xml:space="preserve">– requisição de logs de servidores de e‑mail.</w:t>
            </w:r>
          </w:p>
        </w:tc>
        <w:tc>
          <w:tcPr/>
          <w:p>
            <w:pPr>
              <w:pStyle w:val="Compact"/>
            </w:pPr>
            <w:r>
              <w:t xml:space="preserve">Autoridade Judicial autorizou a requisição ao provedor “MailSecure”.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 de maio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Recepção dos logs</w:t>
            </w:r>
            <w:r>
              <w:t xml:space="preserve"> </w:t>
            </w:r>
            <w:r>
              <w:t xml:space="preserve">– perícia informática.</w:t>
            </w:r>
          </w:p>
        </w:tc>
        <w:tc>
          <w:tcPr/>
          <w:p>
            <w:pPr>
              <w:pStyle w:val="Compact"/>
            </w:pPr>
            <w:r>
              <w:t xml:space="preserve">Perito designado: Eng. Carlos Mendes (NIF 212 334 556).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 de junho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Laudo pericial</w:t>
            </w:r>
            <w:r>
              <w:t xml:space="preserve"> </w:t>
            </w:r>
            <w:r>
              <w:t xml:space="preserve">(anexo I).</w:t>
            </w:r>
          </w:p>
        </w:tc>
        <w:tc>
          <w:tcPr/>
          <w:p>
            <w:pPr>
              <w:pStyle w:val="Compact"/>
            </w:pPr>
            <w:r>
              <w:t xml:space="preserve">Confirmou a origem dos e‑mails no endereço IP 185.23.45.78, atribuído ao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junho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instrução</w:t>
            </w:r>
            <w:r>
              <w:t xml:space="preserve"> </w:t>
            </w:r>
            <w:r>
              <w:t xml:space="preserve">– inquirição do réu.</w:t>
            </w:r>
          </w:p>
        </w:tc>
        <w:tc>
          <w:tcPr/>
          <w:p>
            <w:pPr>
              <w:pStyle w:val="Compact"/>
            </w:pPr>
            <w:r>
              <w:t xml:space="preserve">Réu reconheceu ter enviado os e‑mails, mas alegou desconhecimento da ilicitude.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junho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de diligência</w:t>
            </w:r>
            <w:r>
              <w:t xml:space="preserve"> </w:t>
            </w:r>
            <w:r>
              <w:t xml:space="preserve">– requisição de extratos bancários das vítimas.</w:t>
            </w:r>
          </w:p>
        </w:tc>
        <w:tc>
          <w:tcPr/>
          <w:p>
            <w:pPr>
              <w:pStyle w:val="Compact"/>
            </w:pPr>
            <w:r>
              <w:t xml:space="preserve">Autorizado; extratos entregues em 12 de julho de 2023.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julho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Depoimentos das vítimas</w:t>
            </w:r>
            <w:r>
              <w:t xml:space="preserve"> </w:t>
            </w:r>
            <w:r>
              <w:t xml:space="preserve">(3 testemunhas).</w:t>
            </w:r>
          </w:p>
        </w:tc>
        <w:tc>
          <w:tcPr/>
          <w:p>
            <w:pPr>
              <w:pStyle w:val="Compact"/>
            </w:pPr>
            <w:r>
              <w:t xml:space="preserve">Todas confirmaram ter recebido mensagens falsas que imitavam o Banco Comercial Português.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 de julho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Despacho de conclusão da instrução</w:t>
            </w:r>
            <w:r>
              <w:t xml:space="preserve">.</w:t>
            </w:r>
          </w:p>
        </w:tc>
        <w:tc>
          <w:tcPr/>
          <w:p>
            <w:pPr>
              <w:pStyle w:val="Compact"/>
            </w:pPr>
            <w:r>
              <w:t xml:space="preserve">Autor do processo requereu julgamento; defesa opôs recurso ao tribunal da relação.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setembro de 2023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Julgamento</w:t>
            </w:r>
            <w:r>
              <w:t xml:space="preserve"> </w:t>
            </w:r>
            <w:r>
              <w:t xml:space="preserve">– sessão plenária.</w:t>
            </w:r>
          </w:p>
        </w:tc>
        <w:tc>
          <w:tcPr/>
          <w:p>
            <w:pPr>
              <w:pStyle w:val="Compact"/>
            </w:pPr>
            <w:r>
              <w:t xml:space="preserve">Sentença ainda pendente; relatório final elaborado para arquivo.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março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Elaboração do presente Relatório Final</w:t>
            </w:r>
            <w:r>
              <w:t xml:space="preserve">.</w:t>
            </w:r>
          </w:p>
        </w:tc>
        <w:tc>
          <w:tcPr/>
          <w:p>
            <w:pPr>
              <w:pStyle w:val="Compact"/>
            </w:pPr>
            <w:r>
              <w:t xml:space="preserve">Concluído e submetido ao Tribunal Judicial de Lisboa.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decisões-e-despachos-relevantes"/>
    <w:p>
      <w:pPr>
        <w:pStyle w:val="Heading3"/>
      </w:pPr>
      <w:r>
        <w:t xml:space="preserve">4. Decisões e despachos relevantes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Despacho de 3 de maio de 2023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Admissão da contestação</w:t>
      </w:r>
      <w:r>
        <w:t xml:space="preserve">: “A contestação apresentada encontra‑se em conformidade com o disposto no artigo 31.º do Código de Processo Penal, sendo admitida para efeitos de instrução.”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Despacho de 10 de maio de 2023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Autorização de produção de prova eletrónica</w:t>
      </w:r>
      <w:r>
        <w:t xml:space="preserve">: “Fica autorizada a requisição de dados ao provedor ‘MailSecure’, nos termos do artigo 280.º do CPC, com a preservação dos direitos de privacidade dos envolvidos.”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Despacho de 30 de junho de 2023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Conclusão da instrução</w:t>
      </w:r>
      <w:r>
        <w:t xml:space="preserve">: “Concluída a fase de instrução, determino a remessa dos autos ao Juízo de Julgamento, com a recomendação de apreciação das teses de dolo e responsabilidade penal.”</w:t>
      </w:r>
    </w:p>
    <w:p>
      <w:r>
        <w:pict>
          <v:rect style="width:0;height:1.5pt" o:hralign="center" o:hrstd="t" o:hr="t"/>
        </w:pict>
      </w:r>
    </w:p>
    <w:bookmarkEnd w:id="12"/>
    <w:bookmarkStart w:id="13" w:name="provas-produzidas"/>
    <w:p>
      <w:pPr>
        <w:pStyle w:val="Heading3"/>
      </w:pPr>
      <w:r>
        <w:t xml:space="preserve">5. Provas produzidas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334"/>
        <w:gridCol w:w="2292"/>
        <w:gridCol w:w="229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Tipo de prova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Resultado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Prova documental</w:t>
            </w:r>
          </w:p>
        </w:tc>
        <w:tc>
          <w:tcPr/>
          <w:p>
            <w:pPr>
              <w:pStyle w:val="Compact"/>
            </w:pPr>
            <w:r>
              <w:t xml:space="preserve">Logs de servidor de e‑mail (MailSecure) – 1 200 linhas de registo.</w:t>
            </w:r>
          </w:p>
        </w:tc>
        <w:tc>
          <w:tcPr/>
          <w:p>
            <w:pPr>
              <w:pStyle w:val="Compact"/>
            </w:pPr>
            <w:r>
              <w:t xml:space="preserve">Identificação do IP 185.23.45.78 como origem dos e‑mails.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Prova pericial</w:t>
            </w:r>
          </w:p>
        </w:tc>
        <w:tc>
          <w:tcPr/>
          <w:p>
            <w:pPr>
              <w:pStyle w:val="Compact"/>
            </w:pPr>
            <w:r>
              <w:t xml:space="preserve">Laudo pericial informático (Eng. Carlos Mendes).</w:t>
            </w:r>
          </w:p>
        </w:tc>
        <w:tc>
          <w:tcPr/>
          <w:p>
            <w:pPr>
              <w:pStyle w:val="Compact"/>
            </w:pPr>
            <w:r>
              <w:t xml:space="preserve">Corrobora a autoria dos e‑mails ao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Prova testemunhal</w:t>
            </w:r>
          </w:p>
        </w:tc>
        <w:tc>
          <w:tcPr/>
          <w:p>
            <w:pPr>
              <w:pStyle w:val="Compact"/>
            </w:pPr>
            <w:r>
              <w:t xml:space="preserve">Depoimentos de três vítimas (Maria Fernandes, NIF 221 334 555; Carlos Ribeiro, NIF 224 667 889; Ana Lopes, NIF 229 112 334).</w:t>
            </w:r>
          </w:p>
        </w:tc>
        <w:tc>
          <w:tcPr/>
          <w:p>
            <w:pPr>
              <w:pStyle w:val="Compact"/>
            </w:pPr>
            <w:r>
              <w:t xml:space="preserve">Confirmam a existência de mensagens fraudulentas e a transferência de €32 000,00.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Prova bancária</w:t>
            </w:r>
          </w:p>
        </w:tc>
        <w:tc>
          <w:tcPr/>
          <w:p>
            <w:pPr>
              <w:pStyle w:val="Compact"/>
            </w:pPr>
            <w:r>
              <w:t xml:space="preserve">Extratos das contas das vítimas (Banco Comercial Português).</w:t>
            </w:r>
          </w:p>
        </w:tc>
        <w:tc>
          <w:tcPr/>
          <w:p>
            <w:pPr>
              <w:pStyle w:val="Compact"/>
            </w:pPr>
            <w:r>
              <w:t xml:space="preserve">Registo das transferências para contas controladas pelo réu.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teses-jurídicas-em-discussão"/>
    <w:p>
      <w:pPr>
        <w:pStyle w:val="Heading3"/>
      </w:pPr>
      <w:r>
        <w:t xml:space="preserve">6. Teses jurídicas em discussão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67"/>
        <w:gridCol w:w="1900"/>
        <w:gridCol w:w="475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Tese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Existência de dolo direto</w:t>
            </w:r>
            <w:r>
              <w:t xml:space="preserve"> </w:t>
            </w:r>
            <w:r>
              <w:t xml:space="preserve">– o réu sabia que as mensagens eram fraudulentas.</w:t>
            </w:r>
          </w:p>
        </w:tc>
        <w:tc>
          <w:tcPr/>
          <w:p>
            <w:pPr>
              <w:pStyle w:val="Compact"/>
            </w:pPr>
            <w:r>
              <w:t xml:space="preserve">Artigo 217.º, n.º 1, alínea b) do Código Penal; laudo pericial demonstra conhecimento técnico do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II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Responsabilidade penal por burla informática</w:t>
            </w:r>
            <w:r>
              <w:t xml:space="preserve"> </w:t>
            </w:r>
            <w:r>
              <w:t xml:space="preserve">– aplicação do regime específico previsto no artigo 217.º.º.</w:t>
            </w:r>
          </w:p>
        </w:tc>
        <w:tc>
          <w:tcPr/>
          <w:p>
            <w:pPr>
              <w:pStyle w:val="Compact"/>
            </w:pPr>
            <w:r>
              <w:t xml:space="preserve">Jurisprudência do Tribunal da Relação de Lisboa, Acórdão n.º 123/21.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III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Nulidade de eventual acordo de transação</w:t>
            </w:r>
            <w:r>
              <w:t xml:space="preserve"> </w:t>
            </w:r>
            <w:r>
              <w:t xml:space="preserve">– inexistência de consentimento válido das vítimas.</w:t>
            </w:r>
          </w:p>
        </w:tc>
        <w:tc>
          <w:tcPr/>
          <w:p>
            <w:pPr>
              <w:pStyle w:val="Compact"/>
            </w:pPr>
            <w:r>
              <w:t xml:space="preserve">Artigo 762.º do Código de Processo Penal (necessidade de manifestação livre e informada).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conclusões-do-relatório"/>
    <w:p>
      <w:pPr>
        <w:pStyle w:val="Heading3"/>
      </w:pPr>
      <w:r>
        <w:t xml:space="preserve">7. Conclusões do relatório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Coerência probatória</w:t>
      </w:r>
      <w:r>
        <w:t xml:space="preserve"> </w:t>
      </w:r>
      <w:r>
        <w:t xml:space="preserve">– As provas documentais, periciais e testemunhais são convergentes e sustentam a acusação de burla informática.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Regularidade dos atos processuais</w:t>
      </w:r>
      <w:r>
        <w:t xml:space="preserve"> </w:t>
      </w:r>
      <w:r>
        <w:t xml:space="preserve">– Todos os despachos foram emitidos em estrita observância dos artigos 31.º, 280.º e 762.º do Código de Processo Penal, não se verificam nulidades processuais.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Adequação das teses jurídicas</w:t>
      </w:r>
      <w:r>
        <w:t xml:space="preserve"> </w:t>
      </w:r>
      <w:r>
        <w:t xml:space="preserve">– As três teses apresentadas são juridicamente fundamentadas e merecem ser apreciadas no julgamento.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Arquivamento</w:t>
      </w:r>
      <w:r>
        <w:t xml:space="preserve"> </w:t>
      </w:r>
      <w:r>
        <w:t xml:space="preserve">– Este relatório será anexado ao processo n.º 2023/0456 e arquivado no</w:t>
      </w:r>
      <w:r>
        <w:t xml:space="preserve"> </w:t>
      </w:r>
      <w:r>
        <w:rPr>
          <w:b/>
          <w:bCs/>
        </w:rPr>
        <w:t xml:space="preserve">Dossiê Processual</w:t>
      </w:r>
      <w:r>
        <w:t xml:space="preserve"> </w:t>
      </w:r>
      <w:r>
        <w:t xml:space="preserve">do Tribunal Judicial de Lisboa, ficando à disposição do Juízo de Julgamento para fins de decisão final.</w:t>
      </w:r>
    </w:p>
    <w:p>
      <w:r>
        <w:pict>
          <v:rect style="width:0;height:1.5pt" o:hralign="center" o:hrstd="t" o:hr="t"/>
        </w:pict>
      </w:r>
    </w:p>
    <w:bookmarkEnd w:id="15"/>
    <w:bookmarkStart w:id="16" w:name="anexos"/>
    <w:p>
      <w:pPr>
        <w:pStyle w:val="Heading3"/>
      </w:pPr>
      <w:r>
        <w:t xml:space="preserve">8. Anexos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10"/>
        <w:gridCol w:w="363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Anexo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</w:t>
            </w:r>
          </w:p>
        </w:tc>
        <w:tc>
          <w:tcPr/>
          <w:p>
            <w:pPr>
              <w:pStyle w:val="Compact"/>
            </w:pPr>
            <w:r>
              <w:t xml:space="preserve">Laudo pericial informático – Eng. Carlos Mendes</w:t>
            </w:r>
          </w:p>
        </w:tc>
        <w:tc>
          <w:tcPr/>
          <w:p>
            <w:pPr>
              <w:pStyle w:val="Compact"/>
            </w:pPr>
            <w:r>
              <w:t xml:space="preserve">2 de junho de 2023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II</w:t>
            </w:r>
          </w:p>
        </w:tc>
        <w:tc>
          <w:tcPr/>
          <w:p>
            <w:pPr>
              <w:pStyle w:val="Compact"/>
            </w:pPr>
            <w:r>
              <w:t xml:space="preserve">Cópia dos logs de servidor (MailSecure)</w:t>
            </w:r>
          </w:p>
        </w:tc>
        <w:tc>
          <w:tcPr/>
          <w:p>
            <w:pPr>
              <w:pStyle w:val="Compact"/>
            </w:pPr>
            <w:r>
              <w:t xml:space="preserve">12 de maio de 2023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III</w:t>
            </w:r>
          </w:p>
        </w:tc>
        <w:tc>
          <w:tcPr/>
          <w:p>
            <w:pPr>
              <w:pStyle w:val="Compact"/>
            </w:pPr>
            <w:r>
              <w:t xml:space="preserve">Extratos bancários das vítimas</w:t>
            </w:r>
          </w:p>
        </w:tc>
        <w:tc>
          <w:tcPr/>
          <w:p>
            <w:pPr>
              <w:pStyle w:val="Compact"/>
            </w:pPr>
            <w:r>
              <w:t xml:space="preserve">12 de julho de 2023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IV</w:t>
            </w:r>
          </w:p>
        </w:tc>
        <w:tc>
          <w:tcPr/>
          <w:p>
            <w:pPr>
              <w:pStyle w:val="Compact"/>
            </w:pPr>
            <w:r>
              <w:t xml:space="preserve">Transcrições dos depoimentos das vítimas</w:t>
            </w:r>
          </w:p>
        </w:tc>
        <w:tc>
          <w:tcPr/>
          <w:p>
            <w:pPr>
              <w:pStyle w:val="Compact"/>
            </w:pPr>
            <w:r>
              <w:t xml:space="preserve">12 de julho de 2023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</w:t>
            </w:r>
          </w:p>
        </w:tc>
        <w:tc>
          <w:tcPr/>
          <w:p>
            <w:pPr>
              <w:pStyle w:val="Compact"/>
            </w:pPr>
            <w:r>
              <w:t xml:space="preserve">Sentença (a ser proferida)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i/>
          <w:iCs/>
        </w:rPr>
        <w:t xml:space="preserve">Dr. Marta Santos</w:t>
      </w:r>
      <w:r>
        <w:br/>
      </w:r>
      <w:r>
        <w:t xml:space="preserve">Procuradora do Ministério Público – Secção de Instrução Criminal</w:t>
      </w:r>
      <w:r>
        <w:br/>
      </w:r>
      <w:r>
        <w:rPr>
          <w:b/>
          <w:bCs/>
        </w:rPr>
        <w:t xml:space="preserve">OA 54321</w:t>
      </w:r>
    </w:p>
    <w:p>
      <w:pPr>
        <w:pStyle w:val="BodyText"/>
      </w:pPr>
      <w:r>
        <w:rPr>
          <w:i/>
          <w:iCs/>
        </w:rPr>
        <w:t xml:space="preserve">Dr. Ana Pereira</w:t>
      </w:r>
      <w:r>
        <w:br/>
      </w:r>
      <w:r>
        <w:t xml:space="preserve">Advogada de defesa – Ordem dos Advogados</w:t>
      </w:r>
      <w:r>
        <w:br/>
      </w:r>
      <w:r>
        <w:rPr>
          <w:b/>
          <w:bCs/>
        </w:rPr>
        <w:t xml:space="preserve">OA 12345</w:t>
      </w:r>
    </w:p>
    <w:p>
      <w:pPr>
        <w:pStyle w:val="BodyText"/>
      </w:pPr>
      <w:r>
        <w:rPr>
          <w:i/>
          <w:iCs/>
        </w:rPr>
        <w:t xml:space="preserve">Dr. Luís Carvalho</w:t>
      </w:r>
      <w:r>
        <w:br/>
      </w:r>
      <w:r>
        <w:t xml:space="preserve">Advogado de defesa – Ordem dos Advogados</w:t>
      </w:r>
      <w:r>
        <w:br/>
      </w:r>
      <w:r>
        <w:rPr>
          <w:b/>
          <w:bCs/>
        </w:rPr>
        <w:t xml:space="preserve">OA 67890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2026-02-22T19:01:59Z</dcterms:created>
  <dcterms:modified xsi:type="dcterms:W3CDTF">2026-02-22T19:01:59Z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